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8C" w:rsidRDefault="00A7783C" w:rsidP="00186A23">
      <w:pPr>
        <w:jc w:val="center"/>
        <w:rPr>
          <w:sz w:val="28"/>
          <w:szCs w:val="28"/>
        </w:rPr>
      </w:pPr>
      <w:r>
        <w:rPr>
          <w:sz w:val="28"/>
          <w:szCs w:val="28"/>
        </w:rPr>
        <w:t>Correlation</w:t>
      </w:r>
    </w:p>
    <w:p w:rsidR="00186A23" w:rsidRDefault="00186A23" w:rsidP="00186A23">
      <w:pPr>
        <w:jc w:val="center"/>
      </w:pPr>
      <w:r>
        <w:t>Prepared by Gerald Schafer, June 2016</w:t>
      </w:r>
    </w:p>
    <w:p w:rsidR="001C3884" w:rsidRDefault="00A7783C" w:rsidP="0023175D">
      <w:pPr>
        <w:rPr>
          <w:b/>
          <w:bCs/>
          <w:color w:val="3D316A"/>
          <w:kern w:val="36"/>
          <w:sz w:val="24"/>
          <w:szCs w:val="24"/>
        </w:rPr>
      </w:pPr>
      <w:r>
        <w:t>While it is true that correlation does not equal causation, investigating correlations may reveal associations between variables that warrant further study.</w:t>
      </w:r>
    </w:p>
    <w:p w:rsidR="003B438C" w:rsidRDefault="0007793B" w:rsidP="00186A23">
      <w:hyperlink r:id="rId6" w:history="1">
        <w:r w:rsidRPr="0007793B">
          <w:rPr>
            <w:rStyle w:val="Hyperlink"/>
          </w:rPr>
          <w:t xml:space="preserve">CDC </w:t>
        </w:r>
        <w:r w:rsidRPr="0007793B">
          <w:rPr>
            <w:rStyle w:val="Hyperlink"/>
          </w:rPr>
          <w:t>W</w:t>
        </w:r>
        <w:r w:rsidRPr="0007793B">
          <w:rPr>
            <w:rStyle w:val="Hyperlink"/>
          </w:rPr>
          <w:t>o</w:t>
        </w:r>
        <w:r w:rsidRPr="0007793B">
          <w:rPr>
            <w:rStyle w:val="Hyperlink"/>
          </w:rPr>
          <w:t>n</w:t>
        </w:r>
        <w:r w:rsidRPr="0007793B">
          <w:rPr>
            <w:rStyle w:val="Hyperlink"/>
          </w:rPr>
          <w:t>der</w:t>
        </w:r>
      </w:hyperlink>
      <w:r>
        <w:t xml:space="preserve"> is a great source of freely available health data.  The goal of this project is to explore CDC Wonder and to brainstorm and investigate some interesting </w:t>
      </w:r>
      <w:r w:rsidR="001A4985">
        <w:t>relationships</w:t>
      </w:r>
      <w:r>
        <w:t xml:space="preserve"> that can be informally tested through plotting of correlations.  </w:t>
      </w:r>
      <w:r w:rsidR="001A4985">
        <w:t>Note that we are not formally testing hypotheses.</w:t>
      </w:r>
    </w:p>
    <w:p w:rsidR="009178EF" w:rsidRDefault="0007793B" w:rsidP="00186A23">
      <w:r>
        <w:t xml:space="preserve">Example:   </w:t>
      </w:r>
      <w:r w:rsidR="009178EF">
        <w:t xml:space="preserve">Sun exposure is a </w:t>
      </w:r>
      <w:hyperlink r:id="rId7" w:history="1">
        <w:r w:rsidR="009178EF" w:rsidRPr="009A685F">
          <w:rPr>
            <w:rStyle w:val="Hyperlink"/>
          </w:rPr>
          <w:t>known risk factor</w:t>
        </w:r>
      </w:hyperlink>
      <w:r w:rsidR="009178EF">
        <w:t xml:space="preserve"> for melanoma skin cancer.  Although there are other potential risk and protective factors for melanoma, it i</w:t>
      </w:r>
      <w:r>
        <w:t xml:space="preserve">s </w:t>
      </w:r>
      <w:r w:rsidR="009178EF">
        <w:t xml:space="preserve">plausible that </w:t>
      </w:r>
      <w:r>
        <w:t xml:space="preserve">there </w:t>
      </w:r>
      <w:r w:rsidR="009178EF">
        <w:t xml:space="preserve">is </w:t>
      </w:r>
      <w:r>
        <w:t xml:space="preserve">a </w:t>
      </w:r>
      <w:r w:rsidR="001F2D71">
        <w:t xml:space="preserve">positive </w:t>
      </w:r>
      <w:r>
        <w:t xml:space="preserve">relationship on a state level between </w:t>
      </w:r>
      <w:r w:rsidR="001F2D71">
        <w:t xml:space="preserve">the level of </w:t>
      </w:r>
      <w:r>
        <w:t>solar radiation and the incidence of melanoma skin cancer</w:t>
      </w:r>
      <w:r w:rsidR="009178EF">
        <w:t xml:space="preserve"> in that state</w:t>
      </w:r>
      <w:r>
        <w:t>.</w:t>
      </w:r>
      <w:r w:rsidR="009178EF">
        <w:t xml:space="preserve">  With CDC Wonder, we can do a quick investig</w:t>
      </w:r>
      <w:r w:rsidR="009A685F">
        <w:t>ation of this this relationship.  Here’s what it looks like.</w:t>
      </w:r>
    </w:p>
    <w:p w:rsidR="009A685F" w:rsidRPr="009A685F" w:rsidRDefault="009A685F" w:rsidP="009A685F">
      <w:r>
        <w:t xml:space="preserve">Figure:  </w:t>
      </w:r>
      <w:r w:rsidRPr="009A685F">
        <w:t>Daily Su</w:t>
      </w:r>
      <w:r>
        <w:t>nlight</w:t>
      </w:r>
      <w:r w:rsidRPr="009A685F">
        <w:t xml:space="preserve"> and Melanoma Incidence by State</w:t>
      </w:r>
    </w:p>
    <w:p w:rsidR="0007793B" w:rsidRDefault="009A685F" w:rsidP="00186A23">
      <w:r>
        <w:rPr>
          <w:noProof/>
        </w:rPr>
        <w:drawing>
          <wp:inline distT="0" distB="0" distL="0" distR="0" wp14:anchorId="22418BFB" wp14:editId="239E691D">
            <wp:extent cx="5820355" cy="3069203"/>
            <wp:effectExtent l="0" t="0" r="9525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685F" w:rsidRDefault="009A685F" w:rsidP="00186A23">
      <w:r w:rsidRPr="009A685F">
        <w:rPr>
          <w:b/>
        </w:rPr>
        <w:t>Question</w:t>
      </w:r>
      <w:r>
        <w:t xml:space="preserve">:  </w:t>
      </w:r>
    </w:p>
    <w:p w:rsidR="009A685F" w:rsidRDefault="009A685F" w:rsidP="009A685F">
      <w:pPr>
        <w:pStyle w:val="ListParagraph"/>
        <w:numPr>
          <w:ilvl w:val="0"/>
          <w:numId w:val="2"/>
        </w:numPr>
      </w:pPr>
      <w:r>
        <w:t xml:space="preserve">How would you describe the relationship between daily sunlight and the incidence of melanoma?  </w:t>
      </w:r>
    </w:p>
    <w:p w:rsidR="009A685F" w:rsidRDefault="009A685F" w:rsidP="009A685F">
      <w:pPr>
        <w:pStyle w:val="ListParagraph"/>
        <w:numPr>
          <w:ilvl w:val="0"/>
          <w:numId w:val="2"/>
        </w:numPr>
      </w:pPr>
      <w:r>
        <w:t>Does this graph surprise you</w:t>
      </w:r>
      <w:r w:rsidR="001F2D71">
        <w:t xml:space="preserve"> or not</w:t>
      </w:r>
      <w:r>
        <w:t>?  Why?</w:t>
      </w:r>
    </w:p>
    <w:p w:rsidR="009A685F" w:rsidRDefault="009A685F" w:rsidP="009A685F">
      <w:pPr>
        <w:pStyle w:val="ListParagraph"/>
        <w:numPr>
          <w:ilvl w:val="0"/>
          <w:numId w:val="2"/>
        </w:numPr>
      </w:pPr>
      <w:r>
        <w:t>Other than solar radiation, what other factors might influence the incidence of melanoma in a given state?</w:t>
      </w:r>
    </w:p>
    <w:p w:rsidR="001C3884" w:rsidRDefault="009A685F" w:rsidP="002274CC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trendline</w:t>
      </w:r>
      <w:proofErr w:type="spellEnd"/>
      <w:r>
        <w:t xml:space="preserve"> and equation are included on the graph.  What do they reveal?</w:t>
      </w:r>
    </w:p>
    <w:p w:rsidR="001A4985" w:rsidRPr="001A4985" w:rsidRDefault="001F2D71" w:rsidP="001A4985">
      <w:r>
        <w:lastRenderedPageBreak/>
        <w:t>Explore CDC Wonder and identify possible associations between two variables that you find interesting and for which there’s a plausible relationship.  Explain the anticipated relationship and create a graph similar to the figure above.  E</w:t>
      </w:r>
      <w:bookmarkStart w:id="0" w:name="_GoBack"/>
      <w:bookmarkEnd w:id="0"/>
      <w:r>
        <w:t>valuate the strength of the relationship between your factors.  Discuss your findings, including unexpected results, and give a possible explanation for these findings.</w:t>
      </w:r>
    </w:p>
    <w:sectPr w:rsidR="001A4985" w:rsidRPr="001A4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1D38"/>
    <w:multiLevelType w:val="hybridMultilevel"/>
    <w:tmpl w:val="6E7A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02656"/>
    <w:multiLevelType w:val="hybridMultilevel"/>
    <w:tmpl w:val="3FE2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23"/>
    <w:rsid w:val="0007793B"/>
    <w:rsid w:val="00186A23"/>
    <w:rsid w:val="001A4985"/>
    <w:rsid w:val="001C3884"/>
    <w:rsid w:val="001F2D71"/>
    <w:rsid w:val="00210A91"/>
    <w:rsid w:val="002274CC"/>
    <w:rsid w:val="0023175D"/>
    <w:rsid w:val="00247BF8"/>
    <w:rsid w:val="002F7611"/>
    <w:rsid w:val="003B438C"/>
    <w:rsid w:val="004C3E57"/>
    <w:rsid w:val="004D4C24"/>
    <w:rsid w:val="005661D0"/>
    <w:rsid w:val="00626314"/>
    <w:rsid w:val="00887ACA"/>
    <w:rsid w:val="009178EF"/>
    <w:rsid w:val="009535E4"/>
    <w:rsid w:val="009A685F"/>
    <w:rsid w:val="00A7783C"/>
    <w:rsid w:val="00B82CAF"/>
    <w:rsid w:val="00BA54DF"/>
    <w:rsid w:val="00DF3B81"/>
    <w:rsid w:val="00E262C9"/>
    <w:rsid w:val="00E8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1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93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6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1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93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www.cancer.org/cancer/skincancer-melanoma/detailedguide/melanoma-skin-cancer-risk-fac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nder.cdc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james\gschafer$\Desktop\Network%20Saved\Stats%20Project\North%20America%20Land%20Data%20Assimilation%20System%20(NLDAS)%20Daily%20Sunlight%20(KJm&#178;)%20(1979-2011)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b="0"/>
            </a:pPr>
            <a:r>
              <a:rPr lang="en-US" sz="1400" b="0"/>
              <a:t>Daily Sunlight and Melanoma Incidence by State</a:t>
            </a:r>
          </a:p>
        </c:rich>
      </c:tx>
      <c:layout>
        <c:manualLayout>
          <c:xMode val="edge"/>
          <c:yMode val="edge"/>
          <c:x val="0.22118355444302015"/>
          <c:y val="4.530256490215951E-2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'North America Land Data Assimil'!$D$1</c:f>
              <c:strCache>
                <c:ptCount val="1"/>
                <c:pt idx="0">
                  <c:v>Melanoma Rate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12007286760387828"/>
                  <c:y val="-0.2739023613018019"/>
                </c:manualLayout>
              </c:layout>
              <c:numFmt formatCode="General" sourceLinked="0"/>
            </c:trendlineLbl>
          </c:trendline>
          <c:xVal>
            <c:numRef>
              <c:f>'North America Land Data Assimil'!$C$2:$C$50</c:f>
              <c:numCache>
                <c:formatCode>General</c:formatCode>
                <c:ptCount val="49"/>
                <c:pt idx="0">
                  <c:v>16957.34</c:v>
                </c:pt>
                <c:pt idx="1">
                  <c:v>19625.54</c:v>
                </c:pt>
                <c:pt idx="2">
                  <c:v>16498.63</c:v>
                </c:pt>
                <c:pt idx="3">
                  <c:v>19289.41</c:v>
                </c:pt>
                <c:pt idx="4">
                  <c:v>17388.27</c:v>
                </c:pt>
                <c:pt idx="5">
                  <c:v>14895.93</c:v>
                </c:pt>
                <c:pt idx="6">
                  <c:v>15770.28</c:v>
                </c:pt>
                <c:pt idx="7">
                  <c:v>15265.36</c:v>
                </c:pt>
                <c:pt idx="8">
                  <c:v>18581.939999999999</c:v>
                </c:pt>
                <c:pt idx="9">
                  <c:v>17291.060000000001</c:v>
                </c:pt>
                <c:pt idx="10">
                  <c:v>15958.15</c:v>
                </c:pt>
                <c:pt idx="11">
                  <c:v>14995.54</c:v>
                </c:pt>
                <c:pt idx="12">
                  <c:v>14847.93</c:v>
                </c:pt>
                <c:pt idx="13">
                  <c:v>14689.63</c:v>
                </c:pt>
                <c:pt idx="14">
                  <c:v>16609.75</c:v>
                </c:pt>
                <c:pt idx="15">
                  <c:v>15234.66</c:v>
                </c:pt>
                <c:pt idx="16">
                  <c:v>17580.93</c:v>
                </c:pt>
                <c:pt idx="17">
                  <c:v>13567.92</c:v>
                </c:pt>
                <c:pt idx="18">
                  <c:v>15413.95</c:v>
                </c:pt>
                <c:pt idx="19">
                  <c:v>14741.42</c:v>
                </c:pt>
                <c:pt idx="20">
                  <c:v>14292.93</c:v>
                </c:pt>
                <c:pt idx="21">
                  <c:v>14044.53</c:v>
                </c:pt>
                <c:pt idx="22">
                  <c:v>17042.16</c:v>
                </c:pt>
                <c:pt idx="23">
                  <c:v>15613.42</c:v>
                </c:pt>
                <c:pt idx="24">
                  <c:v>14779.9</c:v>
                </c:pt>
                <c:pt idx="25">
                  <c:v>15778.19</c:v>
                </c:pt>
                <c:pt idx="26">
                  <c:v>18032.8</c:v>
                </c:pt>
                <c:pt idx="27">
                  <c:v>13974.08</c:v>
                </c:pt>
                <c:pt idx="28">
                  <c:v>15253.39</c:v>
                </c:pt>
                <c:pt idx="29">
                  <c:v>19174.82</c:v>
                </c:pt>
                <c:pt idx="30">
                  <c:v>13933.79</c:v>
                </c:pt>
                <c:pt idx="31">
                  <c:v>16472.439999999999</c:v>
                </c:pt>
                <c:pt idx="32">
                  <c:v>14514.49</c:v>
                </c:pt>
                <c:pt idx="33">
                  <c:v>14558.39</c:v>
                </c:pt>
                <c:pt idx="34">
                  <c:v>17071.63</c:v>
                </c:pt>
                <c:pt idx="35">
                  <c:v>16144.08</c:v>
                </c:pt>
                <c:pt idx="36">
                  <c:v>14142.16</c:v>
                </c:pt>
                <c:pt idx="37">
                  <c:v>15045.09</c:v>
                </c:pt>
                <c:pt idx="38">
                  <c:v>17362.64</c:v>
                </c:pt>
                <c:pt idx="39">
                  <c:v>15091.68</c:v>
                </c:pt>
                <c:pt idx="40">
                  <c:v>15808.97</c:v>
                </c:pt>
                <c:pt idx="41">
                  <c:v>18364.990000000002</c:v>
                </c:pt>
                <c:pt idx="42">
                  <c:v>17510.810000000001</c:v>
                </c:pt>
                <c:pt idx="43">
                  <c:v>13472.99</c:v>
                </c:pt>
                <c:pt idx="44">
                  <c:v>15828.86</c:v>
                </c:pt>
                <c:pt idx="45">
                  <c:v>14645.63</c:v>
                </c:pt>
                <c:pt idx="46">
                  <c:v>14634.67</c:v>
                </c:pt>
                <c:pt idx="47">
                  <c:v>14182.25</c:v>
                </c:pt>
                <c:pt idx="48">
                  <c:v>16276.3</c:v>
                </c:pt>
              </c:numCache>
            </c:numRef>
          </c:xVal>
          <c:yVal>
            <c:numRef>
              <c:f>'North America Land Data Assimil'!$D$2:$D$50</c:f>
              <c:numCache>
                <c:formatCode>General</c:formatCode>
                <c:ptCount val="49"/>
                <c:pt idx="0">
                  <c:v>17.8</c:v>
                </c:pt>
                <c:pt idx="1">
                  <c:v>17.2</c:v>
                </c:pt>
                <c:pt idx="2">
                  <c:v>14.6</c:v>
                </c:pt>
                <c:pt idx="3">
                  <c:v>20.100000000000001</c:v>
                </c:pt>
                <c:pt idx="4">
                  <c:v>21.7</c:v>
                </c:pt>
                <c:pt idx="5">
                  <c:v>22.8</c:v>
                </c:pt>
                <c:pt idx="6">
                  <c:v>23.8</c:v>
                </c:pt>
                <c:pt idx="7">
                  <c:v>8.1</c:v>
                </c:pt>
                <c:pt idx="8">
                  <c:v>19</c:v>
                </c:pt>
                <c:pt idx="9">
                  <c:v>21.1</c:v>
                </c:pt>
                <c:pt idx="10">
                  <c:v>24</c:v>
                </c:pt>
                <c:pt idx="11">
                  <c:v>15.6</c:v>
                </c:pt>
                <c:pt idx="12">
                  <c:v>17</c:v>
                </c:pt>
                <c:pt idx="13">
                  <c:v>20.399999999999999</c:v>
                </c:pt>
                <c:pt idx="14">
                  <c:v>20.8</c:v>
                </c:pt>
                <c:pt idx="15">
                  <c:v>22.3</c:v>
                </c:pt>
                <c:pt idx="16">
                  <c:v>13.2</c:v>
                </c:pt>
                <c:pt idx="17">
                  <c:v>21.8</c:v>
                </c:pt>
                <c:pt idx="18">
                  <c:v>20.2</c:v>
                </c:pt>
                <c:pt idx="19">
                  <c:v>21.6</c:v>
                </c:pt>
                <c:pt idx="20">
                  <c:v>18.600000000000001</c:v>
                </c:pt>
                <c:pt idx="21">
                  <c:v>22.3</c:v>
                </c:pt>
                <c:pt idx="22">
                  <c:v>15.9</c:v>
                </c:pt>
                <c:pt idx="23">
                  <c:v>15.8</c:v>
                </c:pt>
                <c:pt idx="24">
                  <c:v>20</c:v>
                </c:pt>
                <c:pt idx="25">
                  <c:v>17.2</c:v>
                </c:pt>
                <c:pt idx="26">
                  <c:v>15.6</c:v>
                </c:pt>
                <c:pt idx="27">
                  <c:v>27.2</c:v>
                </c:pt>
                <c:pt idx="28">
                  <c:v>20.3</c:v>
                </c:pt>
                <c:pt idx="29">
                  <c:v>17.8</c:v>
                </c:pt>
                <c:pt idx="30">
                  <c:v>15.2</c:v>
                </c:pt>
                <c:pt idx="31">
                  <c:v>19.5</c:v>
                </c:pt>
                <c:pt idx="32">
                  <c:v>16.2</c:v>
                </c:pt>
                <c:pt idx="33">
                  <c:v>18</c:v>
                </c:pt>
                <c:pt idx="34">
                  <c:v>16</c:v>
                </c:pt>
                <c:pt idx="35">
                  <c:v>25.2</c:v>
                </c:pt>
                <c:pt idx="36">
                  <c:v>18.2</c:v>
                </c:pt>
                <c:pt idx="37">
                  <c:v>21.9</c:v>
                </c:pt>
                <c:pt idx="38">
                  <c:v>21</c:v>
                </c:pt>
                <c:pt idx="39">
                  <c:v>16.8</c:v>
                </c:pt>
                <c:pt idx="40">
                  <c:v>19.7</c:v>
                </c:pt>
                <c:pt idx="41">
                  <c:v>13.5</c:v>
                </c:pt>
                <c:pt idx="42">
                  <c:v>28.3</c:v>
                </c:pt>
                <c:pt idx="43">
                  <c:v>29.1</c:v>
                </c:pt>
                <c:pt idx="44">
                  <c:v>19.100000000000001</c:v>
                </c:pt>
                <c:pt idx="45">
                  <c:v>24.7</c:v>
                </c:pt>
                <c:pt idx="46">
                  <c:v>18.600000000000001</c:v>
                </c:pt>
                <c:pt idx="47">
                  <c:v>17.399999999999999</c:v>
                </c:pt>
                <c:pt idx="48">
                  <c:v>20.9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9021056"/>
        <c:axId val="128355328"/>
      </c:scatterChart>
      <c:valAx>
        <c:axId val="109021056"/>
        <c:scaling>
          <c:orientation val="minMax"/>
          <c:max val="21000"/>
          <c:min val="120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 b="0" i="0">
                    <a:effectLst/>
                  </a:rPr>
                  <a:t>Daily Sunlight (KJ/m²) (1979-2011</a:t>
                </a:r>
                <a:r>
                  <a:rPr lang="en-US" b="0" i="0">
                    <a:effectLst/>
                  </a:rPr>
                  <a:t>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28355328"/>
        <c:crosses val="autoZero"/>
        <c:crossBetween val="midCat"/>
      </c:valAx>
      <c:valAx>
        <c:axId val="1283553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Age Adjusted Melanoma Incidence 1999-2012 (Cases/100,000) 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90210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84AC76EA</Template>
  <TotalTime>60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Gerald</dc:creator>
  <cp:lastModifiedBy>Schafer, Gerald</cp:lastModifiedBy>
  <cp:revision>5</cp:revision>
  <dcterms:created xsi:type="dcterms:W3CDTF">2016-06-13T21:39:00Z</dcterms:created>
  <dcterms:modified xsi:type="dcterms:W3CDTF">2016-06-13T22:40:00Z</dcterms:modified>
</cp:coreProperties>
</file>